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224888F5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79167E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72375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2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6A5B15A6" w14:textId="78CAE6D0" w:rsidR="00F81CA1" w:rsidRPr="00702DAA" w:rsidRDefault="00054008" w:rsidP="00F81CA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79167E">
        <w:rPr>
          <w:rStyle w:val="FontStyle42"/>
          <w:rFonts w:asciiTheme="minorHAnsi" w:hAnsiTheme="minorHAnsi" w:cstheme="minorHAnsi"/>
          <w:b/>
          <w:color w:val="auto"/>
        </w:rPr>
        <w:t>9 0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1EE32228" w14:textId="0A5526C7" w:rsidR="00935F40" w:rsidRDefault="00935F40" w:rsidP="00776164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>listopad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2025 r.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 xml:space="preserve">         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3 0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71C5D6" w14:textId="19508A30" w:rsidR="0079167E" w:rsidRDefault="0079167E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grudzień 2025 r.          – 3 000 mp,</w:t>
      </w:r>
    </w:p>
    <w:p w14:paraId="410EEC63" w14:textId="14339C94" w:rsidR="00723753" w:rsidRPr="00CC2199" w:rsidRDefault="00723753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styczeń 2026 r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.          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– 3 000 mp</w:t>
      </w:r>
      <w:r>
        <w:rPr>
          <w:rStyle w:val="FontStyle42"/>
          <w:rFonts w:asciiTheme="minorHAnsi" w:hAnsiTheme="minorHAnsi" w:cstheme="minorHAnsi"/>
          <w:bCs/>
          <w:color w:val="auto"/>
        </w:rPr>
        <w:t>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149F3308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79167E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 xml:space="preserve">0 stycznia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., a dla dodatkowej dostawy biomasy zgodnie z ust. 3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723753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27 lutego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06D4406C" w14:textId="0F0A23D5" w:rsidR="00317092" w:rsidRPr="00317092" w:rsidRDefault="00317092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</w:p>
    <w:p w14:paraId="5554811B" w14:textId="3989A8AB" w:rsidR="00D422BB" w:rsidRDefault="00D422BB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28B85E52" w14:textId="77777777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lastRenderedPageBreak/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niezwłocznie powiadomi Wykonawcę pisemnie o wstrzymaniu zapłaty, wzywając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>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2A42993C" w14:textId="663F5708" w:rsidR="00FF126B" w:rsidRPr="003C1838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1BDA100" w14:textId="67BFB62D" w:rsidR="00094136" w:rsidRPr="003C1838" w:rsidRDefault="00E64A3A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 zaku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 jakościowe, w ilości 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stanowiącej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26FAB682" w:rsidR="00FC1655" w:rsidRPr="00122154" w:rsidRDefault="00094136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F13FE7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05189C59" w14:textId="77777777" w:rsidR="00CC2199" w:rsidRDefault="00CC2199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BFC6C05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42FD579D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19E2EA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8877" w14:textId="77777777" w:rsidR="00447C37" w:rsidRDefault="00447C37">
      <w:r>
        <w:separator/>
      </w:r>
    </w:p>
  </w:endnote>
  <w:endnote w:type="continuationSeparator" w:id="0">
    <w:p w14:paraId="6BD05DC5" w14:textId="77777777" w:rsidR="00447C37" w:rsidRDefault="004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0C98" w14:textId="77777777" w:rsidR="00447C37" w:rsidRDefault="00447C37">
      <w:r>
        <w:separator/>
      </w:r>
    </w:p>
  </w:footnote>
  <w:footnote w:type="continuationSeparator" w:id="0">
    <w:p w14:paraId="2E3B60A9" w14:textId="77777777" w:rsidR="00447C37" w:rsidRDefault="0044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29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0"/>
  </w:num>
  <w:num w:numId="3" w16cid:durableId="1692805359">
    <w:abstractNumId w:val="24"/>
  </w:num>
  <w:num w:numId="4" w16cid:durableId="643435148">
    <w:abstractNumId w:val="20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1"/>
  </w:num>
  <w:num w:numId="11" w16cid:durableId="1691906242">
    <w:abstractNumId w:val="22"/>
  </w:num>
  <w:num w:numId="12" w16cid:durableId="1150555694">
    <w:abstractNumId w:val="26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5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7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29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3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8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8305B"/>
    <w:rsid w:val="00283E2D"/>
    <w:rsid w:val="002913D3"/>
    <w:rsid w:val="00293112"/>
    <w:rsid w:val="00293E85"/>
    <w:rsid w:val="002B1620"/>
    <w:rsid w:val="002C3F06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412F4"/>
    <w:rsid w:val="00550F89"/>
    <w:rsid w:val="005519CA"/>
    <w:rsid w:val="00560BB3"/>
    <w:rsid w:val="0056125A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1B85"/>
    <w:rsid w:val="00613131"/>
    <w:rsid w:val="0063331C"/>
    <w:rsid w:val="006349A4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40604"/>
    <w:rsid w:val="008420B9"/>
    <w:rsid w:val="00842E5B"/>
    <w:rsid w:val="008563E5"/>
    <w:rsid w:val="00873158"/>
    <w:rsid w:val="0087432B"/>
    <w:rsid w:val="008762C7"/>
    <w:rsid w:val="00877AF2"/>
    <w:rsid w:val="00893031"/>
    <w:rsid w:val="0089336E"/>
    <w:rsid w:val="0089615B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D0A47"/>
    <w:rsid w:val="009D1BA5"/>
    <w:rsid w:val="009D30F6"/>
    <w:rsid w:val="009D3BAF"/>
    <w:rsid w:val="009D521A"/>
    <w:rsid w:val="009D6461"/>
    <w:rsid w:val="009D7726"/>
    <w:rsid w:val="009E5AD4"/>
    <w:rsid w:val="009E75BC"/>
    <w:rsid w:val="009E7AD4"/>
    <w:rsid w:val="009F1614"/>
    <w:rsid w:val="009F223F"/>
    <w:rsid w:val="009F7839"/>
    <w:rsid w:val="00A2091A"/>
    <w:rsid w:val="00A32795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2747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115</cp:revision>
  <cp:lastPrinted>2024-11-13T07:29:00Z</cp:lastPrinted>
  <dcterms:created xsi:type="dcterms:W3CDTF">2022-08-22T14:08:00Z</dcterms:created>
  <dcterms:modified xsi:type="dcterms:W3CDTF">2025-10-14T12:08:00Z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