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79E8674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0E0CD4" w:rsidRPr="00DF2A7D">
        <w:rPr>
          <w:rFonts w:ascii="Calibri" w:hAnsi="Calibri" w:cs="Calibri"/>
          <w:b/>
          <w:bCs/>
          <w:sz w:val="22"/>
          <w:szCs w:val="22"/>
        </w:rPr>
        <w:t>S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ZP/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>DWC/</w:t>
      </w:r>
      <w:r w:rsidR="00BC2ADB">
        <w:rPr>
          <w:rFonts w:ascii="Calibri" w:hAnsi="Calibri" w:cs="Calibri"/>
          <w:b/>
          <w:bCs/>
          <w:sz w:val="22"/>
          <w:szCs w:val="22"/>
        </w:rPr>
        <w:t>4</w:t>
      </w:r>
      <w:r w:rsidR="006E5B50">
        <w:rPr>
          <w:rFonts w:ascii="Calibri" w:hAnsi="Calibri" w:cs="Calibri"/>
          <w:b/>
          <w:bCs/>
          <w:sz w:val="22"/>
          <w:szCs w:val="22"/>
        </w:rPr>
        <w:t>/2021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FC27A74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BC2ADB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0E172B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8A2EB29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BC2ADB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w całości wyłącznie </w:t>
      </w:r>
      <w:r w:rsidR="00A14995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E67A417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B847A7">
        <w:rPr>
          <w:rFonts w:ascii="Calibri" w:hAnsi="Calibri" w:cs="Calibri"/>
          <w:sz w:val="22"/>
          <w:szCs w:val="22"/>
        </w:rPr>
        <w:t xml:space="preserve"> </w:t>
      </w:r>
      <w:r w:rsidR="00B847A7" w:rsidRPr="00B847A7">
        <w:rPr>
          <w:rFonts w:ascii="Calibri" w:hAnsi="Calibri" w:cs="Calibri"/>
          <w:b/>
          <w:bCs/>
          <w:sz w:val="22"/>
          <w:szCs w:val="22"/>
        </w:rPr>
        <w:t>9</w:t>
      </w:r>
      <w:r w:rsidR="00FE208B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8FB9227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2ADB">
        <w:rPr>
          <w:rFonts w:ascii="Calibri" w:hAnsi="Calibri" w:cs="Calibri"/>
          <w:b/>
          <w:bCs/>
          <w:sz w:val="22"/>
          <w:szCs w:val="22"/>
        </w:rPr>
        <w:t>9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46FF41CB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B847A7">
        <w:rPr>
          <w:rFonts w:ascii="Calibri" w:hAnsi="Calibri" w:cs="Calibri"/>
          <w:b/>
          <w:bCs/>
          <w:sz w:val="22"/>
          <w:szCs w:val="22"/>
        </w:rPr>
        <w:t>9</w:t>
      </w:r>
      <w:r w:rsidR="00FE208B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77777777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(w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7FC7D855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B847A7">
        <w:rPr>
          <w:rFonts w:ascii="Calibri" w:hAnsi="Calibri" w:cs="Calibri"/>
          <w:b/>
          <w:bCs/>
          <w:sz w:val="22"/>
          <w:szCs w:val="22"/>
        </w:rPr>
        <w:t>9</w:t>
      </w:r>
      <w:r w:rsidR="00FE208B">
        <w:rPr>
          <w:rFonts w:ascii="Calibri" w:hAnsi="Calibri" w:cs="Calibri"/>
          <w:b/>
          <w:bCs/>
          <w:sz w:val="22"/>
          <w:szCs w:val="22"/>
        </w:rPr>
        <w:t xml:space="preserve"> czerwca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7BFD74CF" w:rsidR="00734111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45771BC4" w14:textId="4E22ADCD" w:rsidR="004C1A94" w:rsidRDefault="004C1A94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3726B3D" w14:textId="77777777" w:rsidR="00651C49" w:rsidRPr="00DF2A7D" w:rsidRDefault="00651C49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3F61D04" w14:textId="1EC6DD40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31486E44" w14:textId="77777777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767F203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BC2ADB">
        <w:rPr>
          <w:rStyle w:val="FontStyle34"/>
          <w:rFonts w:ascii="Calibri" w:hAnsi="Calibri" w:cs="Calibri"/>
          <w:sz w:val="22"/>
          <w:szCs w:val="22"/>
        </w:rPr>
        <w:t>3 stycznia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BC2ADB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30 </w:t>
      </w:r>
      <w:r w:rsidR="00BC2ADB">
        <w:rPr>
          <w:rStyle w:val="FontStyle34"/>
          <w:rFonts w:ascii="Calibri" w:hAnsi="Calibri" w:cs="Calibri"/>
          <w:sz w:val="22"/>
          <w:szCs w:val="22"/>
        </w:rPr>
        <w:t>czerwca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BC2ADB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lastRenderedPageBreak/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707B674F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847A7">
        <w:rPr>
          <w:rFonts w:ascii="Calibri" w:hAnsi="Calibri" w:cs="Calibri"/>
          <w:b/>
          <w:bCs/>
          <w:sz w:val="22"/>
          <w:szCs w:val="22"/>
        </w:rPr>
        <w:t>4 czerwca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D66A92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311DFE54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115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4977B1">
        <w:rPr>
          <w:rFonts w:ascii="Calibri" w:hAnsi="Calibri" w:cs="Calibri"/>
          <w:b/>
          <w:bCs/>
          <w:sz w:val="22"/>
          <w:szCs w:val="22"/>
        </w:rPr>
        <w:t xml:space="preserve">Joanna </w:t>
      </w:r>
      <w:proofErr w:type="spellStart"/>
      <w:r w:rsidR="004977B1">
        <w:rPr>
          <w:rFonts w:ascii="Calibri" w:hAnsi="Calibri" w:cs="Calibri"/>
          <w:b/>
          <w:bCs/>
          <w:sz w:val="22"/>
          <w:szCs w:val="22"/>
        </w:rPr>
        <w:t>Tabaszewska</w:t>
      </w:r>
      <w:proofErr w:type="spellEnd"/>
      <w:r w:rsidR="004977B1">
        <w:rPr>
          <w:rFonts w:ascii="Calibri" w:hAnsi="Calibri" w:cs="Calibri"/>
          <w:b/>
          <w:bCs/>
          <w:sz w:val="22"/>
          <w:szCs w:val="22"/>
        </w:rPr>
        <w:t>-Lis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16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podane </w:t>
      </w:r>
      <w:r w:rsidRPr="00DF2A7D">
        <w:rPr>
          <w:rFonts w:ascii="Calibri" w:hAnsi="Calibri" w:cs="Calibri"/>
          <w:sz w:val="22"/>
          <w:szCs w:val="22"/>
        </w:rPr>
        <w:lastRenderedPageBreak/>
        <w:t>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wybrany Wykonawca zostanie poinformowany o terminie podpisania umowy,</w:t>
      </w:r>
    </w:p>
    <w:p w14:paraId="24D55C4D" w14:textId="3D07072B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 xml:space="preserve">przedstawić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5F6F6D35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 xml:space="preserve">dnia </w:t>
      </w:r>
      <w:r w:rsidR="00B847A7">
        <w:rPr>
          <w:rFonts w:ascii="Calibri" w:hAnsi="Calibri" w:cs="Calibri"/>
          <w:sz w:val="22"/>
          <w:szCs w:val="22"/>
        </w:rPr>
        <w:t>2 czerwca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5AFB0886" w:rsidR="0078609D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</w:t>
      </w:r>
      <w:r w:rsidR="0078609D"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6911" w14:textId="77777777" w:rsidR="000E172B" w:rsidRDefault="000E172B" w:rsidP="0025209F">
      <w:r>
        <w:separator/>
      </w:r>
    </w:p>
  </w:endnote>
  <w:endnote w:type="continuationSeparator" w:id="0">
    <w:p w14:paraId="280DA2A0" w14:textId="77777777" w:rsidR="000E172B" w:rsidRDefault="000E172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DD08" w14:textId="77777777" w:rsidR="000E172B" w:rsidRDefault="000E172B" w:rsidP="0025209F">
      <w:r>
        <w:separator/>
      </w:r>
    </w:p>
  </w:footnote>
  <w:footnote w:type="continuationSeparator" w:id="0">
    <w:p w14:paraId="616CF289" w14:textId="77777777" w:rsidR="000E172B" w:rsidRDefault="000E172B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75EE4"/>
    <w:rsid w:val="00080FEB"/>
    <w:rsid w:val="00085B7F"/>
    <w:rsid w:val="00093EC1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50246"/>
    <w:rsid w:val="001524D8"/>
    <w:rsid w:val="00152BF8"/>
    <w:rsid w:val="0015339C"/>
    <w:rsid w:val="001561BA"/>
    <w:rsid w:val="00165D67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C01AF"/>
    <w:rsid w:val="005C28BF"/>
    <w:rsid w:val="005C3F3F"/>
    <w:rsid w:val="005D2805"/>
    <w:rsid w:val="005F1260"/>
    <w:rsid w:val="005F25A8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DE"/>
    <w:rsid w:val="00C77BA4"/>
    <w:rsid w:val="00C84376"/>
    <w:rsid w:val="00C86F44"/>
    <w:rsid w:val="00C92DC9"/>
    <w:rsid w:val="00CA0122"/>
    <w:rsid w:val="00CA1D2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66A92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1784</TotalTime>
  <Pages>1</Pages>
  <Words>2594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243</cp:revision>
  <cp:lastPrinted>2021-06-01T08:26:00Z</cp:lastPrinted>
  <dcterms:created xsi:type="dcterms:W3CDTF">2019-04-24T12:39:00Z</dcterms:created>
  <dcterms:modified xsi:type="dcterms:W3CDTF">2021-06-01T08:26:00Z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